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B2AA" w14:textId="77777777" w:rsidR="001C200B" w:rsidRDefault="00C94CBF" w:rsidP="008D2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Hardware, Software and Media Inventory </w:t>
      </w:r>
    </w:p>
    <w:p w14:paraId="588906D0" w14:textId="77777777" w:rsidR="00B73963" w:rsidRPr="00B73963" w:rsidRDefault="00B73963" w:rsidP="008D2314">
      <w:pPr>
        <w:jc w:val="center"/>
        <w:rPr>
          <w:sz w:val="20"/>
          <w:szCs w:val="20"/>
        </w:rPr>
      </w:pPr>
    </w:p>
    <w:p w14:paraId="1BD73859" w14:textId="77777777" w:rsidR="00C94CBF" w:rsidRDefault="00C94CBF" w:rsidP="008D2314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A997F8E" w14:textId="77777777" w:rsidR="008D2314" w:rsidRPr="00A647F0" w:rsidRDefault="00C94CBF" w:rsidP="008D2314">
      <w:pPr>
        <w:rPr>
          <w:b/>
          <w:u w:val="single"/>
        </w:rPr>
      </w:pPr>
      <w:r>
        <w:rPr>
          <w:b/>
        </w:rPr>
        <w:t>Prepared By</w:t>
      </w:r>
      <w:r w:rsidR="008D2314">
        <w:rPr>
          <w:b/>
        </w:rPr>
        <w:t xml:space="preserve">: </w:t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B73963" w:rsidRPr="00B73963">
        <w:rPr>
          <w:b/>
        </w:rPr>
        <w:t xml:space="preserve">                                                Original Completion Date: </w:t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  <w:r w:rsidR="00A647F0">
        <w:rPr>
          <w:b/>
          <w:u w:val="single"/>
        </w:rPr>
        <w:tab/>
      </w:r>
    </w:p>
    <w:p w14:paraId="5DBF4087" w14:textId="77777777" w:rsidR="008D2314" w:rsidRPr="00B73963" w:rsidRDefault="008D2314" w:rsidP="008D2314">
      <w:pPr>
        <w:rPr>
          <w:sz w:val="16"/>
          <w:szCs w:val="16"/>
        </w:rPr>
      </w:pPr>
    </w:p>
    <w:p w14:paraId="0D1B61FF" w14:textId="77777777" w:rsidR="008D2314" w:rsidRPr="001C200B" w:rsidRDefault="008D2314" w:rsidP="008D2314">
      <w:pPr>
        <w:rPr>
          <w:b/>
          <w:sz w:val="28"/>
          <w:szCs w:val="28"/>
        </w:rPr>
      </w:pPr>
      <w:r w:rsidRPr="008D2314">
        <w:t>*</w:t>
      </w:r>
      <w:r>
        <w:t xml:space="preserve">If completed by outside </w:t>
      </w:r>
      <w:r w:rsidR="00A647F0">
        <w:t xml:space="preserve">IT </w:t>
      </w:r>
      <w:r>
        <w:t>service provider, a</w:t>
      </w:r>
      <w:r w:rsidRPr="008D2314">
        <w:t>ttach copy of completed inventory if possible</w:t>
      </w:r>
      <w:r>
        <w:t xml:space="preserve"> or note location of stored copy below.</w:t>
      </w:r>
    </w:p>
    <w:p w14:paraId="6E8B3D24" w14:textId="77777777" w:rsidR="00AE650C" w:rsidRPr="008D2314" w:rsidRDefault="00AE650C" w:rsidP="008D2314">
      <w:pPr>
        <w:rPr>
          <w:b/>
          <w:sz w:val="16"/>
          <w:szCs w:val="16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10"/>
        <w:gridCol w:w="3330"/>
        <w:gridCol w:w="2430"/>
        <w:gridCol w:w="2070"/>
      </w:tblGrid>
      <w:tr w:rsidR="00AE650C" w14:paraId="1A089A9F" w14:textId="77777777" w:rsidTr="00A647F0">
        <w:trPr>
          <w:trHeight w:val="71"/>
          <w:tblHeader/>
        </w:trPr>
        <w:tc>
          <w:tcPr>
            <w:tcW w:w="4428" w:type="dxa"/>
            <w:shd w:val="clear" w:color="auto" w:fill="E6E6E6"/>
          </w:tcPr>
          <w:p w14:paraId="6EB56F2F" w14:textId="77777777" w:rsidR="00AE650C" w:rsidRPr="00C94CBF" w:rsidRDefault="009E123D" w:rsidP="00AE650C">
            <w:pPr>
              <w:jc w:val="center"/>
              <w:rPr>
                <w:b/>
              </w:rPr>
            </w:pPr>
            <w:r>
              <w:rPr>
                <w:b/>
              </w:rPr>
              <w:t>Type of Item and</w:t>
            </w:r>
            <w:r w:rsidR="00AE650C" w:rsidRPr="00C94CBF">
              <w:rPr>
                <w:b/>
              </w:rPr>
              <w:t xml:space="preserve"> Item/Serial Number</w:t>
            </w:r>
            <w:r w:rsidR="00AE650C" w:rsidRPr="00C94CBF">
              <w:rPr>
                <w:sz w:val="20"/>
                <w:szCs w:val="20"/>
              </w:rPr>
              <w:t xml:space="preserve"> </w:t>
            </w:r>
          </w:p>
          <w:p w14:paraId="41774780" w14:textId="77777777" w:rsidR="00AE650C" w:rsidRPr="00C94CBF" w:rsidRDefault="00AE650C" w:rsidP="00C94C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(Workstation, tablet, server, copy/fax</w:t>
            </w:r>
            <w:r w:rsidRPr="00C94CBF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E6E6E6"/>
          </w:tcPr>
          <w:p w14:paraId="17FEC2DC" w14:textId="77777777" w:rsidR="00AE650C" w:rsidRDefault="00AE650C" w:rsidP="00C94CBF">
            <w:pPr>
              <w:jc w:val="center"/>
              <w:rPr>
                <w:b/>
              </w:rPr>
            </w:pPr>
            <w:r w:rsidRPr="00AE650C">
              <w:rPr>
                <w:b/>
              </w:rPr>
              <w:t>Primary User</w:t>
            </w:r>
          </w:p>
          <w:p w14:paraId="23861EBB" w14:textId="77777777" w:rsidR="001C200B" w:rsidRPr="00AE650C" w:rsidRDefault="001C200B" w:rsidP="00C94CBF">
            <w:pPr>
              <w:jc w:val="center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3330" w:type="dxa"/>
            <w:shd w:val="clear" w:color="auto" w:fill="E6E6E6"/>
          </w:tcPr>
          <w:p w14:paraId="6B55B73C" w14:textId="77777777" w:rsidR="00AE650C" w:rsidRPr="00C94CBF" w:rsidRDefault="009E123D" w:rsidP="00AE650C">
            <w:pPr>
              <w:jc w:val="center"/>
              <w:rPr>
                <w:b/>
              </w:rPr>
            </w:pPr>
            <w:r>
              <w:rPr>
                <w:b/>
              </w:rPr>
              <w:t>Disposition and</w:t>
            </w:r>
            <w:r w:rsidR="00AE650C" w:rsidRPr="00C94CBF">
              <w:rPr>
                <w:b/>
              </w:rPr>
              <w:t xml:space="preserve"> Date   </w:t>
            </w:r>
          </w:p>
          <w:p w14:paraId="526367B1" w14:textId="77777777" w:rsidR="00AE650C" w:rsidRPr="00AE650C" w:rsidRDefault="00AE650C" w:rsidP="00AE650C">
            <w:pPr>
              <w:jc w:val="center"/>
              <w:rPr>
                <w:b/>
              </w:rPr>
            </w:pPr>
            <w:r w:rsidRPr="00C94CBF">
              <w:rPr>
                <w:sz w:val="20"/>
                <w:szCs w:val="20"/>
              </w:rPr>
              <w:t>(Indicate how ePHI was removed)</w:t>
            </w:r>
          </w:p>
        </w:tc>
        <w:tc>
          <w:tcPr>
            <w:tcW w:w="2430" w:type="dxa"/>
            <w:shd w:val="clear" w:color="auto" w:fill="E6E6E6"/>
          </w:tcPr>
          <w:p w14:paraId="4A8DC48C" w14:textId="77777777" w:rsidR="00AE650C" w:rsidRDefault="00AE650C" w:rsidP="00C94CBF">
            <w:pPr>
              <w:jc w:val="center"/>
              <w:rPr>
                <w:b/>
              </w:rPr>
            </w:pPr>
            <w:r>
              <w:rPr>
                <w:b/>
              </w:rPr>
              <w:t>Disposed by:</w:t>
            </w:r>
          </w:p>
          <w:p w14:paraId="3BBA0122" w14:textId="77777777" w:rsidR="00AE650C" w:rsidRPr="00AE650C" w:rsidRDefault="00AE650C" w:rsidP="00C94CBF">
            <w:pPr>
              <w:jc w:val="center"/>
              <w:rPr>
                <w:b/>
              </w:rPr>
            </w:pPr>
            <w:r w:rsidRPr="00C94CBF">
              <w:rPr>
                <w:sz w:val="20"/>
                <w:szCs w:val="20"/>
              </w:rPr>
              <w:t>(verified or handled by)</w:t>
            </w:r>
          </w:p>
        </w:tc>
        <w:tc>
          <w:tcPr>
            <w:tcW w:w="2070" w:type="dxa"/>
            <w:shd w:val="clear" w:color="auto" w:fill="E6E6E6"/>
          </w:tcPr>
          <w:p w14:paraId="69CA39C2" w14:textId="77777777" w:rsidR="00AE650C" w:rsidRDefault="009E123D" w:rsidP="00C94CBF">
            <w:pPr>
              <w:jc w:val="center"/>
              <w:rPr>
                <w:b/>
              </w:rPr>
            </w:pPr>
            <w:r>
              <w:rPr>
                <w:b/>
              </w:rPr>
              <w:t>Recovery Critical</w:t>
            </w:r>
          </w:p>
          <w:p w14:paraId="0E16C177" w14:textId="77777777" w:rsidR="00AE650C" w:rsidRPr="00AE650C" w:rsidRDefault="00AE650C" w:rsidP="00C94CBF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8D2314" w:rsidRPr="001C200B" w14:paraId="134B112C" w14:textId="77777777" w:rsidTr="00A647F0">
        <w:trPr>
          <w:trHeight w:val="71"/>
        </w:trPr>
        <w:tc>
          <w:tcPr>
            <w:tcW w:w="13968" w:type="dxa"/>
            <w:gridSpan w:val="5"/>
            <w:shd w:val="clear" w:color="auto" w:fill="auto"/>
          </w:tcPr>
          <w:p w14:paraId="57207591" w14:textId="77777777" w:rsidR="008D2314" w:rsidRPr="008D2314" w:rsidRDefault="008D2314" w:rsidP="008D2314">
            <w:r w:rsidRPr="008D2314">
              <w:t>Location of stored document:</w:t>
            </w:r>
          </w:p>
        </w:tc>
      </w:tr>
      <w:tr w:rsidR="00B73963" w:rsidRPr="00B73963" w14:paraId="1032E7DC" w14:textId="77777777" w:rsidTr="00A647F0">
        <w:trPr>
          <w:trHeight w:val="71"/>
        </w:trPr>
        <w:tc>
          <w:tcPr>
            <w:tcW w:w="13968" w:type="dxa"/>
            <w:gridSpan w:val="5"/>
            <w:shd w:val="clear" w:color="auto" w:fill="auto"/>
          </w:tcPr>
          <w:p w14:paraId="41DE8220" w14:textId="77777777" w:rsidR="00B73963" w:rsidRPr="00B73963" w:rsidRDefault="00B73963" w:rsidP="00B73963">
            <w:r w:rsidRPr="00B73963">
              <w:t>Critical devices/programs identified:</w:t>
            </w:r>
          </w:p>
        </w:tc>
      </w:tr>
      <w:tr w:rsidR="00AE650C" w:rsidRPr="001C200B" w14:paraId="5C429C2A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BF59B6C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858300F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A38A7A3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0A83D92E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F2F7FB1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267D09B1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26DE2A2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9C1F7E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C70F8EC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350A3F8A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53467BF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16209F03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25E99615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D2F61BF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DC5A61D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52829C8C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7BC83FE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48FE21AF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7C80F3C1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A141FC2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1133E00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0A3E6ED4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182E72FD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2E8A66DF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585F253E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524A03A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923AFB4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918760A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A753BF7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76D898B7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E994152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86BA522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4AAC19F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5D2DA69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511CC54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0696AE31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6E679B64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7C12F5C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942A2C7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3C6B9BA3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073E92E9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50C" w:rsidRPr="001C200B" w14:paraId="36CE6FC9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5DA55475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AA5F15C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B291CA1" w14:textId="77777777" w:rsidR="00AE650C" w:rsidRPr="001C200B" w:rsidRDefault="00AE650C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333C2DE5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26B98921" w14:textId="77777777" w:rsidR="00AE650C" w:rsidRPr="001C200B" w:rsidRDefault="00AE650C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031068E9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28A33FB9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9D05D8C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9A18652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74AAD60C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58E27787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5B53573A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27957795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C1946CE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0BE15BD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7754E9BE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0F98286B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552A0BBB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27463B6A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622833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CAD0C6F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45C2EB58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1CB73E5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1887A015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4910E238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7C35DA8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0CECAB4F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E74AECB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0D628B53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361B1497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2615108F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1290A01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E7189D9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14C24099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B34DD4F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0C2A7E7C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47F1A61E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C7EAEC2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303047F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5D04291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0196AAFE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00B" w:rsidRPr="001C200B" w14:paraId="7A54440D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554314F7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9883CBC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A8EB0CB" w14:textId="77777777" w:rsidR="001C200B" w:rsidRPr="001C200B" w:rsidRDefault="001C200B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5F2133EF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17D25003" w14:textId="77777777" w:rsidR="001C200B" w:rsidRPr="001C200B" w:rsidRDefault="001C200B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078FF6F3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DC39313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2EDE631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BA4B8AD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194D7448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4B72A0CF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738BFF8A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39018246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9EF818A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44930E6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46E5B003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49E2F5D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11AA7620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5CD73B9B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816877E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2358D2FA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21A2915F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74AFA71A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7EF494C2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53826FD5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E091FC9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F1540F4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7D69AFCC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5A8A192C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5BF23F94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7FBC646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0F21F34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3A3FB70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04F1C099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497656F1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4521E438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777DFD69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376F8D85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D950234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8826B64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E5EC7BF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621959AD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403D1FAC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03F4CF79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1C7FB18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4FF8B304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12F87E7E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121282FE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01921AA4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D14C26B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00736F99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78CEEA9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24ACBE70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5B1A200B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6B37F581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5CD24EA5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0B2008A8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66F8BA0B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6F062DDB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47F0" w:rsidRPr="001C200B" w14:paraId="2ED74F34" w14:textId="77777777" w:rsidTr="00A647F0">
        <w:trPr>
          <w:trHeight w:val="71"/>
        </w:trPr>
        <w:tc>
          <w:tcPr>
            <w:tcW w:w="4428" w:type="dxa"/>
            <w:shd w:val="clear" w:color="auto" w:fill="auto"/>
          </w:tcPr>
          <w:p w14:paraId="144C3F02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C19F09D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A309C6A" w14:textId="77777777" w:rsidR="00A647F0" w:rsidRPr="001C200B" w:rsidRDefault="00A647F0" w:rsidP="00AE6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55ED5F21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0E675FEA" w14:textId="77777777" w:rsidR="00A647F0" w:rsidRPr="001C200B" w:rsidRDefault="00A647F0" w:rsidP="00C94C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5064467" w14:textId="77777777" w:rsidR="00C94CBF" w:rsidRDefault="001C200B" w:rsidP="001C200B">
      <w:pPr>
        <w:rPr>
          <w:b/>
        </w:rPr>
      </w:pPr>
      <w:r>
        <w:rPr>
          <w:b/>
        </w:rPr>
        <w:t>*Recommend a separate inventory for each physical location</w:t>
      </w:r>
    </w:p>
    <w:p w14:paraId="2C7AD3F9" w14:textId="77777777" w:rsidR="00EE66ED" w:rsidRDefault="00EE66ED" w:rsidP="001C200B">
      <w:pPr>
        <w:rPr>
          <w:b/>
        </w:rPr>
      </w:pPr>
      <w:r>
        <w:rPr>
          <w:b/>
        </w:rPr>
        <w:t>*</w:t>
      </w:r>
      <w:r w:rsidR="00687C62">
        <w:rPr>
          <w:b/>
        </w:rPr>
        <w:t xml:space="preserve">Available in a PDF fillable version on </w:t>
      </w:r>
      <w:r w:rsidR="00A647F0">
        <w:rPr>
          <w:b/>
        </w:rPr>
        <w:t xml:space="preserve">TMC’s </w:t>
      </w:r>
      <w:r>
        <w:rPr>
          <w:b/>
        </w:rPr>
        <w:t>Clien</w:t>
      </w:r>
      <w:r w:rsidR="00687C62">
        <w:rPr>
          <w:b/>
        </w:rPr>
        <w:t xml:space="preserve">t Portal </w:t>
      </w:r>
      <w:r w:rsidR="00A647F0">
        <w:rPr>
          <w:b/>
        </w:rPr>
        <w:t>under</w:t>
      </w:r>
      <w:r w:rsidR="00687C62">
        <w:rPr>
          <w:b/>
        </w:rPr>
        <w:t xml:space="preserve"> HIPAA forms</w:t>
      </w:r>
    </w:p>
    <w:p w14:paraId="7F22C5E7" w14:textId="77777777" w:rsidR="001C200B" w:rsidRPr="00EE66ED" w:rsidRDefault="001C200B" w:rsidP="001C200B">
      <w:pPr>
        <w:rPr>
          <w:sz w:val="16"/>
          <w:szCs w:val="16"/>
        </w:rPr>
      </w:pPr>
    </w:p>
    <w:p w14:paraId="740F35F0" w14:textId="77777777" w:rsidR="00C94CBF" w:rsidRDefault="00A647F0">
      <w:pPr>
        <w:rPr>
          <w:b/>
        </w:rPr>
      </w:pPr>
      <w:r>
        <w:rPr>
          <w:b/>
        </w:rPr>
        <w:t xml:space="preserve">INVENTORY VERIFIED: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970"/>
        <w:gridCol w:w="270"/>
        <w:gridCol w:w="1260"/>
        <w:gridCol w:w="3060"/>
        <w:gridCol w:w="270"/>
        <w:gridCol w:w="1620"/>
        <w:gridCol w:w="3240"/>
      </w:tblGrid>
      <w:tr w:rsidR="00C94CBF" w:rsidRPr="00C94CBF" w14:paraId="5D02E698" w14:textId="77777777" w:rsidTr="00A647F0">
        <w:tc>
          <w:tcPr>
            <w:tcW w:w="1278" w:type="dxa"/>
            <w:shd w:val="clear" w:color="auto" w:fill="auto"/>
          </w:tcPr>
          <w:p w14:paraId="06951E52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Date</w:t>
            </w:r>
          </w:p>
        </w:tc>
        <w:tc>
          <w:tcPr>
            <w:tcW w:w="2970" w:type="dxa"/>
            <w:shd w:val="clear" w:color="auto" w:fill="auto"/>
          </w:tcPr>
          <w:p w14:paraId="21B8D315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By Whom</w:t>
            </w:r>
            <w:r w:rsidR="00A647F0">
              <w:rPr>
                <w:b/>
              </w:rPr>
              <w:t xml:space="preserve"> (print)</w:t>
            </w:r>
          </w:p>
        </w:tc>
        <w:tc>
          <w:tcPr>
            <w:tcW w:w="270" w:type="dxa"/>
            <w:shd w:val="clear" w:color="auto" w:fill="E6E6E6"/>
          </w:tcPr>
          <w:p w14:paraId="4A86954F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281AD8E2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Date</w:t>
            </w:r>
          </w:p>
        </w:tc>
        <w:tc>
          <w:tcPr>
            <w:tcW w:w="3060" w:type="dxa"/>
            <w:shd w:val="clear" w:color="auto" w:fill="auto"/>
          </w:tcPr>
          <w:p w14:paraId="28FF2022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By Whom</w:t>
            </w:r>
            <w:r w:rsidR="00A647F0">
              <w:rPr>
                <w:b/>
              </w:rPr>
              <w:t xml:space="preserve"> (print)</w:t>
            </w:r>
          </w:p>
        </w:tc>
        <w:tc>
          <w:tcPr>
            <w:tcW w:w="270" w:type="dxa"/>
            <w:shd w:val="clear" w:color="auto" w:fill="E6E6E6"/>
          </w:tcPr>
          <w:p w14:paraId="5E807D82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25BD72C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185A5887" w14:textId="77777777" w:rsidR="00C94CBF" w:rsidRPr="00C94CBF" w:rsidRDefault="00C94CBF" w:rsidP="00C94CBF">
            <w:pPr>
              <w:jc w:val="center"/>
              <w:rPr>
                <w:b/>
              </w:rPr>
            </w:pPr>
            <w:r w:rsidRPr="00C94CBF">
              <w:rPr>
                <w:b/>
              </w:rPr>
              <w:t>By Whom</w:t>
            </w:r>
            <w:r w:rsidR="00A647F0">
              <w:rPr>
                <w:b/>
              </w:rPr>
              <w:t xml:space="preserve"> (print)</w:t>
            </w:r>
          </w:p>
        </w:tc>
      </w:tr>
      <w:tr w:rsidR="00C94CBF" w:rsidRPr="00C94CBF" w14:paraId="15223C07" w14:textId="77777777" w:rsidTr="00A647F0">
        <w:tc>
          <w:tcPr>
            <w:tcW w:w="1278" w:type="dxa"/>
            <w:shd w:val="clear" w:color="auto" w:fill="auto"/>
          </w:tcPr>
          <w:p w14:paraId="535544DC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093F9E7E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68AFF0D5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0B709E6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49039352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293797AB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4C23DA8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3AC43B43" w14:textId="77777777" w:rsidR="00C94CBF" w:rsidRPr="00C94CBF" w:rsidRDefault="00C94CBF">
            <w:pPr>
              <w:rPr>
                <w:b/>
              </w:rPr>
            </w:pPr>
          </w:p>
        </w:tc>
      </w:tr>
      <w:tr w:rsidR="00C94CBF" w:rsidRPr="00C94CBF" w14:paraId="3E060D33" w14:textId="77777777" w:rsidTr="00A647F0">
        <w:tc>
          <w:tcPr>
            <w:tcW w:w="1278" w:type="dxa"/>
            <w:shd w:val="clear" w:color="auto" w:fill="auto"/>
          </w:tcPr>
          <w:p w14:paraId="5D65A558" w14:textId="77777777" w:rsidR="00C94CBF" w:rsidRPr="00C94CBF" w:rsidRDefault="00C94CBF" w:rsidP="008D2314">
            <w:pPr>
              <w:jc w:val="center"/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1F8501C7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4CA1FCD8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D6DC43B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770DFC7F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6E9C9815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88358E4" w14:textId="77777777" w:rsidR="00C94CBF" w:rsidRPr="00C94CBF" w:rsidRDefault="00C94CBF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31F5CEAA" w14:textId="77777777" w:rsidR="00C94CBF" w:rsidRPr="00C94CBF" w:rsidRDefault="00C94CBF">
            <w:pPr>
              <w:rPr>
                <w:b/>
              </w:rPr>
            </w:pPr>
          </w:p>
        </w:tc>
      </w:tr>
      <w:tr w:rsidR="00A647F0" w:rsidRPr="00C94CBF" w14:paraId="16BEC435" w14:textId="77777777" w:rsidTr="00A647F0">
        <w:tc>
          <w:tcPr>
            <w:tcW w:w="1278" w:type="dxa"/>
            <w:shd w:val="clear" w:color="auto" w:fill="auto"/>
          </w:tcPr>
          <w:p w14:paraId="09353546" w14:textId="77777777" w:rsidR="00A647F0" w:rsidRPr="00C94CBF" w:rsidRDefault="00A647F0" w:rsidP="008D2314">
            <w:pPr>
              <w:jc w:val="center"/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59496671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6FEBD6BD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599FAC2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3F35C61C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270" w:type="dxa"/>
            <w:shd w:val="clear" w:color="auto" w:fill="E6E6E6"/>
          </w:tcPr>
          <w:p w14:paraId="0CFDEDA7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492CC1B" w14:textId="77777777" w:rsidR="00A647F0" w:rsidRPr="00C94CBF" w:rsidRDefault="00A647F0">
            <w:pPr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0EACD046" w14:textId="77777777" w:rsidR="00A647F0" w:rsidRPr="00C94CBF" w:rsidRDefault="00A647F0">
            <w:pPr>
              <w:rPr>
                <w:b/>
              </w:rPr>
            </w:pPr>
          </w:p>
        </w:tc>
      </w:tr>
    </w:tbl>
    <w:p w14:paraId="2F79D044" w14:textId="77777777" w:rsidR="00A647F0" w:rsidRDefault="00A647F0" w:rsidP="00A647F0">
      <w:pPr>
        <w:rPr>
          <w:b/>
        </w:rPr>
      </w:pPr>
    </w:p>
    <w:p w14:paraId="6F377E37" w14:textId="77777777" w:rsidR="00C94CBF" w:rsidRPr="00A647F0" w:rsidRDefault="00C94CBF" w:rsidP="00A647F0">
      <w:pPr>
        <w:rPr>
          <w:b/>
          <w:sz w:val="28"/>
          <w:szCs w:val="28"/>
          <w:u w:val="single"/>
        </w:rPr>
      </w:pPr>
      <w:r w:rsidRPr="00A647F0">
        <w:rPr>
          <w:b/>
          <w:sz w:val="28"/>
          <w:szCs w:val="28"/>
          <w:u w:val="single"/>
        </w:rPr>
        <w:t>Instructions for Completion of Inventory</w:t>
      </w:r>
    </w:p>
    <w:p w14:paraId="3EF2090E" w14:textId="77777777" w:rsidR="00C94CBF" w:rsidRDefault="00C94CBF"/>
    <w:p w14:paraId="66522856" w14:textId="77777777" w:rsidR="00C94CBF" w:rsidRPr="00A647F0" w:rsidRDefault="001C200B">
      <w:pPr>
        <w:numPr>
          <w:ilvl w:val="0"/>
          <w:numId w:val="1"/>
        </w:numPr>
      </w:pPr>
      <w:r w:rsidRPr="00A647F0">
        <w:rPr>
          <w:b/>
        </w:rPr>
        <w:t>Type of item and</w:t>
      </w:r>
      <w:r w:rsidR="00C94CBF" w:rsidRPr="00A647F0">
        <w:rPr>
          <w:b/>
        </w:rPr>
        <w:t xml:space="preserve"> ID numbers</w:t>
      </w:r>
      <w:r w:rsidR="00C94CBF" w:rsidRPr="00A647F0">
        <w:t xml:space="preserve"> - Group like items together and list each one separat</w:t>
      </w:r>
      <w:r w:rsidRPr="00A647F0">
        <w:t>ely</w:t>
      </w:r>
      <w:r w:rsidR="008D2314" w:rsidRPr="00A647F0">
        <w:t xml:space="preserve">, including any personal devices which access or store ePHI. </w:t>
      </w:r>
      <w:r w:rsidRPr="00A647F0">
        <w:t>Assign some sort of inventory number on each device for identification purposes.</w:t>
      </w:r>
      <w:r w:rsidR="00C94CBF" w:rsidRPr="00A647F0">
        <w:t xml:space="preserve"> Place the inventory number on the device as well as on the inventory sheet. </w:t>
      </w:r>
    </w:p>
    <w:p w14:paraId="78E26BAB" w14:textId="77777777" w:rsidR="00C94CBF" w:rsidRPr="00A647F0" w:rsidRDefault="001C200B">
      <w:pPr>
        <w:numPr>
          <w:ilvl w:val="0"/>
          <w:numId w:val="1"/>
        </w:numPr>
      </w:pPr>
      <w:r w:rsidRPr="00A647F0">
        <w:rPr>
          <w:b/>
        </w:rPr>
        <w:t>Primary User/</w:t>
      </w:r>
      <w:r w:rsidR="00C94CBF" w:rsidRPr="00A647F0">
        <w:rPr>
          <w:b/>
        </w:rPr>
        <w:t>Owner</w:t>
      </w:r>
      <w:r w:rsidR="00C94CBF" w:rsidRPr="00A647F0">
        <w:t xml:space="preserve"> - The owner or responsible person is the name of the person with the primary responsibility for a sys</w:t>
      </w:r>
      <w:r w:rsidRPr="00A647F0">
        <w:t xml:space="preserve">tem or a piece of hardware. </w:t>
      </w:r>
      <w:r w:rsidR="00C94CBF" w:rsidRPr="00A647F0">
        <w:t>Indicate the person with ultimate responsibility for decisions made relative to the item.</w:t>
      </w:r>
    </w:p>
    <w:p w14:paraId="214965B3" w14:textId="77777777" w:rsidR="00C94CBF" w:rsidRPr="00A647F0" w:rsidRDefault="00C94CBF">
      <w:pPr>
        <w:numPr>
          <w:ilvl w:val="0"/>
          <w:numId w:val="1"/>
        </w:numPr>
      </w:pPr>
      <w:r w:rsidRPr="00A647F0">
        <w:rPr>
          <w:b/>
        </w:rPr>
        <w:t xml:space="preserve">Recovery </w:t>
      </w:r>
      <w:r w:rsidR="009E123D" w:rsidRPr="00A647F0">
        <w:t>–</w:t>
      </w:r>
      <w:r w:rsidRPr="00A647F0">
        <w:t xml:space="preserve"> </w:t>
      </w:r>
      <w:r w:rsidR="009E123D" w:rsidRPr="00A647F0">
        <w:t>Is it critical for this device/sy</w:t>
      </w:r>
      <w:r w:rsidR="00A43003" w:rsidRPr="00A647F0">
        <w:t>stem to be available to deliver</w:t>
      </w:r>
      <w:r w:rsidR="009E123D" w:rsidRPr="00A647F0">
        <w:t xml:space="preserve"> patient care. If so, the item should be marked as critical and data should be back-up and easily recoverable. Patient safety is the most important factor in determining criticality of device/system. </w:t>
      </w:r>
    </w:p>
    <w:p w14:paraId="17CF5122" w14:textId="77777777" w:rsidR="00C94CBF" w:rsidRPr="00A647F0" w:rsidRDefault="009E123D">
      <w:pPr>
        <w:numPr>
          <w:ilvl w:val="0"/>
          <w:numId w:val="1"/>
        </w:numPr>
      </w:pPr>
      <w:r w:rsidRPr="00A647F0">
        <w:rPr>
          <w:b/>
        </w:rPr>
        <w:t xml:space="preserve">Disposition and </w:t>
      </w:r>
      <w:r w:rsidR="00C94CBF" w:rsidRPr="00A647F0">
        <w:rPr>
          <w:b/>
        </w:rPr>
        <w:t>date</w:t>
      </w:r>
      <w:r w:rsidRPr="00A647F0">
        <w:t xml:space="preserve"> – When you eliminate software or hardware, </w:t>
      </w:r>
      <w:r w:rsidR="00C94CBF" w:rsidRPr="00A647F0">
        <w:t>record what you did with the items</w:t>
      </w:r>
      <w:r w:rsidRPr="00A647F0">
        <w:t xml:space="preserve"> and how ePHI has been removed or destroyed</w:t>
      </w:r>
      <w:r w:rsidR="00C94CBF" w:rsidRPr="00A647F0">
        <w:t xml:space="preserve">. </w:t>
      </w:r>
    </w:p>
    <w:p w14:paraId="0768354F" w14:textId="77777777" w:rsidR="009E123D" w:rsidRPr="00A647F0" w:rsidRDefault="009E123D">
      <w:pPr>
        <w:numPr>
          <w:ilvl w:val="0"/>
          <w:numId w:val="1"/>
        </w:numPr>
      </w:pPr>
      <w:r w:rsidRPr="00A647F0">
        <w:rPr>
          <w:b/>
        </w:rPr>
        <w:t xml:space="preserve">Disposed by </w:t>
      </w:r>
      <w:r w:rsidR="00C91634" w:rsidRPr="00A647F0">
        <w:t>– The person responsible</w:t>
      </w:r>
      <w:r w:rsidRPr="00A647F0">
        <w:t xml:space="preserve"> for disposal and verification that ePHI was removed.</w:t>
      </w:r>
    </w:p>
    <w:p w14:paraId="43D1D4C4" w14:textId="77777777" w:rsidR="001C200B" w:rsidRPr="00A647F0" w:rsidRDefault="00C94CBF" w:rsidP="00910D72">
      <w:pPr>
        <w:numPr>
          <w:ilvl w:val="0"/>
          <w:numId w:val="1"/>
        </w:numPr>
      </w:pPr>
      <w:r w:rsidRPr="00A647F0">
        <w:rPr>
          <w:b/>
        </w:rPr>
        <w:t>Inventory Verified</w:t>
      </w:r>
      <w:r w:rsidRPr="00A647F0">
        <w:t xml:space="preserve"> - Verify the inventory and the critical ratings at least annually. </w:t>
      </w:r>
    </w:p>
    <w:p w14:paraId="63DC3E77" w14:textId="77777777" w:rsidR="001C200B" w:rsidRPr="00A647F0" w:rsidRDefault="001C200B" w:rsidP="001C200B"/>
    <w:p w14:paraId="13553E37" w14:textId="77777777" w:rsidR="009E123D" w:rsidRPr="00A647F0" w:rsidRDefault="009E123D" w:rsidP="009E123D">
      <w:pPr>
        <w:ind w:left="360"/>
      </w:pPr>
      <w:r w:rsidRPr="00A647F0">
        <w:t xml:space="preserve">Note: </w:t>
      </w:r>
      <w:r w:rsidR="008D2314" w:rsidRPr="00A647F0">
        <w:t>If inventory completed by an outside vendor, include copy of inventory along with the risk analysis documentation if possible.</w:t>
      </w:r>
    </w:p>
    <w:sectPr w:rsidR="009E123D" w:rsidRPr="00A647F0" w:rsidSect="00A647F0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E8B2" w14:textId="77777777" w:rsidR="00732B4A" w:rsidRDefault="00732B4A">
      <w:r>
        <w:separator/>
      </w:r>
    </w:p>
  </w:endnote>
  <w:endnote w:type="continuationSeparator" w:id="0">
    <w:p w14:paraId="020A5ACD" w14:textId="77777777" w:rsidR="00732B4A" w:rsidRDefault="007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916D" w14:textId="3B9E08ED" w:rsidR="00C94CBF" w:rsidRDefault="00A647F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992619">
      <w:rPr>
        <w:sz w:val="20"/>
        <w:szCs w:val="20"/>
      </w:rPr>
      <w:t>Rev.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F7E8" w14:textId="77777777" w:rsidR="00732B4A" w:rsidRDefault="00732B4A">
      <w:r>
        <w:separator/>
      </w:r>
    </w:p>
  </w:footnote>
  <w:footnote w:type="continuationSeparator" w:id="0">
    <w:p w14:paraId="0075CB1C" w14:textId="77777777" w:rsidR="00732B4A" w:rsidRDefault="0073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35E7"/>
    <w:multiLevelType w:val="hybridMultilevel"/>
    <w:tmpl w:val="30CC60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B5397"/>
    <w:multiLevelType w:val="hybridMultilevel"/>
    <w:tmpl w:val="EAF2DEDE"/>
    <w:lvl w:ilvl="0" w:tplc="9CEEB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60"/>
    <w:rsid w:val="000D3850"/>
    <w:rsid w:val="001C200B"/>
    <w:rsid w:val="00311B84"/>
    <w:rsid w:val="00352160"/>
    <w:rsid w:val="00557F3A"/>
    <w:rsid w:val="00687C62"/>
    <w:rsid w:val="00701955"/>
    <w:rsid w:val="00732B4A"/>
    <w:rsid w:val="00852A04"/>
    <w:rsid w:val="008A485C"/>
    <w:rsid w:val="008D2314"/>
    <w:rsid w:val="008E3C71"/>
    <w:rsid w:val="00910D72"/>
    <w:rsid w:val="009314D9"/>
    <w:rsid w:val="00992619"/>
    <w:rsid w:val="009E123D"/>
    <w:rsid w:val="00A1337E"/>
    <w:rsid w:val="00A43003"/>
    <w:rsid w:val="00A647F0"/>
    <w:rsid w:val="00AE1E11"/>
    <w:rsid w:val="00AE650C"/>
    <w:rsid w:val="00B73963"/>
    <w:rsid w:val="00C91634"/>
    <w:rsid w:val="00C94CBF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3E6D5"/>
  <w15:chartTrackingRefBased/>
  <w15:docId w15:val="{1A0474C2-F693-4504-AA5A-3246C02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3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09D9-5C2A-4641-8B7F-B03BC4EE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Hardware, Software and Media Inventory</vt:lpstr>
    </vt:vector>
  </TitlesOfParts>
  <Company>TMC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Hardware, Software and Media Inventory</dc:title>
  <dc:subject/>
  <dc:creator>Berle Chamblee</dc:creator>
  <cp:keywords/>
  <cp:lastModifiedBy>Heidi Erdos</cp:lastModifiedBy>
  <cp:revision>2</cp:revision>
  <cp:lastPrinted>2019-10-15T16:53:00Z</cp:lastPrinted>
  <dcterms:created xsi:type="dcterms:W3CDTF">2022-04-04T15:08:00Z</dcterms:created>
  <dcterms:modified xsi:type="dcterms:W3CDTF">2022-04-04T15:08:00Z</dcterms:modified>
</cp:coreProperties>
</file>