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C56742" w14:textId="77777777" w:rsidR="00BE5288" w:rsidRPr="00940B9D" w:rsidRDefault="00BE5288">
      <w:pPr>
        <w:pStyle w:val="Title"/>
        <w:rPr>
          <w:sz w:val="36"/>
          <w:szCs w:val="22"/>
        </w:rPr>
      </w:pPr>
      <w:r w:rsidRPr="00940B9D">
        <w:rPr>
          <w:sz w:val="36"/>
          <w:szCs w:val="22"/>
        </w:rPr>
        <w:t>Authorization Form Instructions</w:t>
      </w:r>
    </w:p>
    <w:p w14:paraId="7E17199A" w14:textId="77777777" w:rsidR="00BE5288" w:rsidRDefault="00BE5288"/>
    <w:p w14:paraId="573E25DA" w14:textId="054B601E" w:rsidR="00BE5288" w:rsidRDefault="00BE5288">
      <w:r>
        <w:t xml:space="preserve">An authorization must be obtained to use or disclose </w:t>
      </w:r>
      <w:r w:rsidR="00940B9D">
        <w:t>PHI</w:t>
      </w:r>
      <w:r>
        <w:t xml:space="preserve"> except for information otherwise permitted or required by </w:t>
      </w:r>
      <w:r w:rsidR="00940B9D">
        <w:t>HIPAA</w:t>
      </w:r>
      <w:r>
        <w:t xml:space="preserve"> (</w:t>
      </w:r>
      <w:r w:rsidR="000052C5">
        <w:t xml:space="preserve">45 C.F.R. </w:t>
      </w:r>
      <w:r w:rsidR="00316B2E">
        <w:t xml:space="preserve">§ </w:t>
      </w:r>
      <w:r>
        <w:t>164.508</w:t>
      </w:r>
      <w:r w:rsidR="00316B2E">
        <w:t>(</w:t>
      </w:r>
      <w:r>
        <w:t>a</w:t>
      </w:r>
      <w:r w:rsidR="00316B2E">
        <w:t>)</w:t>
      </w:r>
      <w:r>
        <w:t xml:space="preserve">).  </w:t>
      </w:r>
    </w:p>
    <w:p w14:paraId="37469664" w14:textId="77777777" w:rsidR="00BE5288" w:rsidRDefault="00BE5288" w:rsidP="000F3D11">
      <w:pPr>
        <w:pStyle w:val="BodyText"/>
        <w:spacing w:before="120"/>
      </w:pPr>
      <w:r>
        <w:t>A valid authorization must contain:</w:t>
      </w:r>
    </w:p>
    <w:p w14:paraId="2A045A50" w14:textId="0BBC26B0" w:rsidR="00BE5288" w:rsidRDefault="00BE5288" w:rsidP="009C13FE">
      <w:pPr>
        <w:ind w:firstLine="720"/>
      </w:pPr>
      <w:r>
        <w:t>The entity to release the PHI</w:t>
      </w:r>
      <w:r w:rsidR="000F3D11">
        <w:tab/>
      </w:r>
      <w:r>
        <w:tab/>
      </w:r>
      <w:r>
        <w:tab/>
        <w:t>The entity to receive the PHI</w:t>
      </w:r>
    </w:p>
    <w:p w14:paraId="04097CB1" w14:textId="77777777" w:rsidR="00BE5288" w:rsidRDefault="00BE5288" w:rsidP="009C13FE">
      <w:pPr>
        <w:ind w:firstLine="720"/>
      </w:pPr>
      <w:r>
        <w:t>A detailed description of the PHI</w:t>
      </w:r>
      <w:r>
        <w:tab/>
      </w:r>
      <w:r>
        <w:tab/>
        <w:t>An expiration date or event</w:t>
      </w:r>
    </w:p>
    <w:p w14:paraId="7B014CAB" w14:textId="77777777" w:rsidR="00BE5288" w:rsidRDefault="00BE5288" w:rsidP="009C13FE">
      <w:pPr>
        <w:ind w:firstLine="720"/>
      </w:pPr>
      <w:r>
        <w:t>The reason for the request</w:t>
      </w:r>
      <w:r>
        <w:tab/>
      </w:r>
      <w:r>
        <w:tab/>
      </w:r>
      <w:r>
        <w:tab/>
        <w:t>Patient rights related to the authorization</w:t>
      </w:r>
    </w:p>
    <w:p w14:paraId="7BE72910" w14:textId="77777777" w:rsidR="00BE5288" w:rsidRDefault="00BE5288" w:rsidP="009C13FE">
      <w:pPr>
        <w:ind w:firstLine="720"/>
      </w:pPr>
      <w:r>
        <w:t xml:space="preserve">Any monetary payment if applicable </w:t>
      </w:r>
      <w:r>
        <w:tab/>
      </w:r>
      <w:r>
        <w:tab/>
      </w:r>
      <w:r w:rsidRPr="009D1AB8">
        <w:rPr>
          <w:i/>
          <w:iCs/>
        </w:rPr>
        <w:t>Some exceptions do apply</w:t>
      </w:r>
    </w:p>
    <w:p w14:paraId="422EA2F5" w14:textId="4B9B4110" w:rsidR="00BE5288" w:rsidRDefault="00BE5288" w:rsidP="000F3D11">
      <w:pPr>
        <w:pStyle w:val="BodyText"/>
        <w:spacing w:before="120"/>
      </w:pPr>
      <w:r>
        <w:t>Verify that the required information is included for the type of request. An authorization is invalid (</w:t>
      </w:r>
      <w:r w:rsidR="00DF6FE8">
        <w:t xml:space="preserve">§ </w:t>
      </w:r>
      <w:r>
        <w:t>164.508</w:t>
      </w:r>
      <w:r w:rsidR="00DF6FE8">
        <w:t>(</w:t>
      </w:r>
      <w:r>
        <w:t>b</w:t>
      </w:r>
      <w:r w:rsidR="00DF6FE8">
        <w:t>)(</w:t>
      </w:r>
      <w:r>
        <w:t>2</w:t>
      </w:r>
      <w:r w:rsidR="00DF6FE8">
        <w:t>)</w:t>
      </w:r>
      <w:r>
        <w:t xml:space="preserve">) if:    </w:t>
      </w:r>
    </w:p>
    <w:p w14:paraId="122E70D7" w14:textId="77777777" w:rsidR="00BE5288" w:rsidRDefault="00BE5288">
      <w:pPr>
        <w:numPr>
          <w:ilvl w:val="0"/>
          <w:numId w:val="2"/>
        </w:numPr>
      </w:pPr>
      <w:r>
        <w:t xml:space="preserve">The patient has not completed required information.  </w:t>
      </w:r>
    </w:p>
    <w:p w14:paraId="1AABA7CC" w14:textId="77777777" w:rsidR="00BE5288" w:rsidRDefault="00BE5288">
      <w:pPr>
        <w:numPr>
          <w:ilvl w:val="0"/>
          <w:numId w:val="2"/>
        </w:numPr>
      </w:pPr>
      <w:r>
        <w:t>The expiration date has passed or an event that would trigger expiration has occurred.</w:t>
      </w:r>
    </w:p>
    <w:p w14:paraId="4650FFB8" w14:textId="77777777" w:rsidR="00BE5288" w:rsidRDefault="00BE5288">
      <w:pPr>
        <w:numPr>
          <w:ilvl w:val="0"/>
          <w:numId w:val="2"/>
        </w:numPr>
      </w:pPr>
      <w:r>
        <w:t>Any required notification statements or disclosures are missing.</w:t>
      </w:r>
    </w:p>
    <w:p w14:paraId="2C6F220B" w14:textId="77777777" w:rsidR="00BE5288" w:rsidRDefault="00BE5288">
      <w:pPr>
        <w:numPr>
          <w:ilvl w:val="0"/>
          <w:numId w:val="2"/>
        </w:numPr>
      </w:pPr>
      <w:r>
        <w:t xml:space="preserve">You are aware the patient has revoked the authorization. </w:t>
      </w:r>
    </w:p>
    <w:p w14:paraId="3E79BE90" w14:textId="77777777" w:rsidR="00BE5288" w:rsidRDefault="00BE5288">
      <w:pPr>
        <w:numPr>
          <w:ilvl w:val="0"/>
          <w:numId w:val="2"/>
        </w:numPr>
      </w:pPr>
      <w:r>
        <w:t>Material information in the authorization is known to be false.</w:t>
      </w:r>
    </w:p>
    <w:p w14:paraId="41DF03B2" w14:textId="10717B24" w:rsidR="00BE5288" w:rsidRDefault="00BE5288" w:rsidP="000F3D11">
      <w:pPr>
        <w:pStyle w:val="BodyText"/>
        <w:spacing w:before="120"/>
      </w:pPr>
      <w:r>
        <w:t>If it is a compound authorization, verify the legality of the combination (</w:t>
      </w:r>
      <w:r w:rsidR="00DF6FE8">
        <w:t xml:space="preserve">§ </w:t>
      </w:r>
      <w:r>
        <w:t>164.508</w:t>
      </w:r>
      <w:r w:rsidR="00DF6FE8">
        <w:t>(</w:t>
      </w:r>
      <w:r>
        <w:t>b</w:t>
      </w:r>
      <w:r w:rsidR="00DF6FE8">
        <w:t>)(</w:t>
      </w:r>
      <w:r>
        <w:t>3</w:t>
      </w:r>
      <w:r w:rsidR="00DF6FE8">
        <w:t>)</w:t>
      </w:r>
      <w:r>
        <w:t xml:space="preserve">). </w:t>
      </w:r>
    </w:p>
    <w:p w14:paraId="239DA2FA" w14:textId="77777777" w:rsidR="00BE5288" w:rsidRDefault="00BE5288">
      <w:pPr>
        <w:numPr>
          <w:ilvl w:val="0"/>
          <w:numId w:val="2"/>
        </w:numPr>
      </w:pPr>
      <w:r>
        <w:t xml:space="preserve">A research authorization may be combined with any other legal permission related to the research study. </w:t>
      </w:r>
    </w:p>
    <w:p w14:paraId="71820617" w14:textId="77777777" w:rsidR="00BE5288" w:rsidRDefault="00BE5288">
      <w:pPr>
        <w:numPr>
          <w:ilvl w:val="0"/>
          <w:numId w:val="2"/>
        </w:numPr>
      </w:pPr>
      <w:r>
        <w:t xml:space="preserve">An authorization for psychotherapy notes may only be combined with another authorization for the use or disclosure of psychotherapy notes. </w:t>
      </w:r>
    </w:p>
    <w:p w14:paraId="2430A62E" w14:textId="77777777" w:rsidR="00BE5288" w:rsidRDefault="00BE5288">
      <w:pPr>
        <w:numPr>
          <w:ilvl w:val="0"/>
          <w:numId w:val="2"/>
        </w:numPr>
      </w:pPr>
      <w:r>
        <w:t>An authorization may be combined with another authorization unless you are conditioning treatment upon obtaining the authorization.</w:t>
      </w:r>
    </w:p>
    <w:p w14:paraId="7963F611" w14:textId="77777777" w:rsidR="00BE5288" w:rsidRDefault="00BE5288">
      <w:pPr>
        <w:numPr>
          <w:ilvl w:val="0"/>
          <w:numId w:val="2"/>
        </w:numPr>
      </w:pPr>
      <w:r>
        <w:t xml:space="preserve">An authorization may not be combined with other types of documents such as </w:t>
      </w:r>
      <w:proofErr w:type="gramStart"/>
      <w:r>
        <w:t>a</w:t>
      </w:r>
      <w:proofErr w:type="gramEnd"/>
      <w:r>
        <w:t xml:space="preserve"> NPP.</w:t>
      </w:r>
    </w:p>
    <w:p w14:paraId="66556988" w14:textId="77777777" w:rsidR="00BE5288" w:rsidRDefault="00BE5288" w:rsidP="000F3D11">
      <w:pPr>
        <w:pStyle w:val="BodyText"/>
        <w:spacing w:before="120"/>
      </w:pPr>
      <w:r>
        <w:t>Other requirements:</w:t>
      </w:r>
    </w:p>
    <w:p w14:paraId="75BE6543" w14:textId="77777777" w:rsidR="00BE5288" w:rsidRDefault="00BE5288" w:rsidP="009C13FE">
      <w:pPr>
        <w:numPr>
          <w:ilvl w:val="0"/>
          <w:numId w:val="4"/>
        </w:numPr>
        <w:tabs>
          <w:tab w:val="clear" w:pos="360"/>
          <w:tab w:val="num" w:pos="720"/>
        </w:tabs>
        <w:ind w:left="720"/>
      </w:pPr>
      <w:r>
        <w:t xml:space="preserve">An authorization for the release or use of PHI for marketing purposes, for which the practice will obtain a remuneration of any type, must include a notification to the patient of the remuneration. </w:t>
      </w:r>
    </w:p>
    <w:p w14:paraId="243FB9E5" w14:textId="77777777" w:rsidR="00BE5288" w:rsidRDefault="00BE5288" w:rsidP="009C13FE">
      <w:pPr>
        <w:numPr>
          <w:ilvl w:val="0"/>
          <w:numId w:val="5"/>
        </w:numPr>
        <w:tabs>
          <w:tab w:val="clear" w:pos="360"/>
          <w:tab w:val="left" w:pos="720"/>
        </w:tabs>
        <w:ind w:left="720"/>
      </w:pPr>
      <w:r>
        <w:t>A research authorization does not require an expiration date or event. If there is none enter “this authorization will have no expiration date” in the appropriate field.</w:t>
      </w:r>
    </w:p>
    <w:p w14:paraId="3BCB5817" w14:textId="77777777" w:rsidR="00BE5288" w:rsidRDefault="00BE5288" w:rsidP="009C13FE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Provide a copy of the authorization to the requestor if our practice initiated the request for our use.</w:t>
      </w:r>
    </w:p>
    <w:p w14:paraId="02FF324A" w14:textId="77777777" w:rsidR="00BE5288" w:rsidRDefault="00BE5288" w:rsidP="009C13FE">
      <w:pPr>
        <w:numPr>
          <w:ilvl w:val="0"/>
          <w:numId w:val="6"/>
        </w:numPr>
        <w:tabs>
          <w:tab w:val="clear" w:pos="360"/>
          <w:tab w:val="num" w:pos="720"/>
        </w:tabs>
        <w:ind w:left="720"/>
      </w:pPr>
      <w:r>
        <w:t>Verify the authority of any personal representative signing an authorization on behalf of the patient.</w:t>
      </w:r>
    </w:p>
    <w:p w14:paraId="133902BF" w14:textId="77777777" w:rsidR="00BE5288" w:rsidRDefault="00BE5288" w:rsidP="009C13FE">
      <w:pPr>
        <w:numPr>
          <w:ilvl w:val="0"/>
          <w:numId w:val="6"/>
        </w:numPr>
        <w:tabs>
          <w:tab w:val="clear" w:pos="360"/>
          <w:tab w:val="num" w:pos="720"/>
        </w:tabs>
        <w:ind w:left="1080" w:hanging="720"/>
      </w:pPr>
      <w:r>
        <w:t>Verify compliance with state laws.</w:t>
      </w:r>
    </w:p>
    <w:p w14:paraId="0D2B2645" w14:textId="102D07C3" w:rsidR="00BE5288" w:rsidRDefault="00BE5288" w:rsidP="009C13FE">
      <w:pPr>
        <w:numPr>
          <w:ilvl w:val="0"/>
          <w:numId w:val="6"/>
        </w:numPr>
        <w:tabs>
          <w:tab w:val="clear" w:pos="360"/>
          <w:tab w:val="num" w:pos="720"/>
        </w:tabs>
        <w:ind w:left="1080" w:hanging="720"/>
      </w:pPr>
      <w:r>
        <w:t xml:space="preserve">Retain authorization forms for </w:t>
      </w:r>
      <w:r w:rsidR="000A48AA">
        <w:t>6</w:t>
      </w:r>
      <w:r>
        <w:t xml:space="preserve"> years from the date when it last was in effect.</w:t>
      </w:r>
    </w:p>
    <w:p w14:paraId="5CC47164" w14:textId="1F7388EA" w:rsidR="000A48AA" w:rsidRDefault="00BE5288" w:rsidP="000A48AA">
      <w:pPr>
        <w:numPr>
          <w:ilvl w:val="0"/>
          <w:numId w:val="6"/>
        </w:numPr>
        <w:tabs>
          <w:tab w:val="clear" w:pos="360"/>
          <w:tab w:val="num" w:pos="720"/>
          <w:tab w:val="left" w:pos="990"/>
        </w:tabs>
        <w:ind w:left="720"/>
      </w:pPr>
      <w:r>
        <w:t>If information is forwarded to an entity that is not subject to the HIPAA regulations, you must include a disclos</w:t>
      </w:r>
      <w:r w:rsidR="00B243A7">
        <w:t>ure that federal protection</w:t>
      </w:r>
      <w:r>
        <w:t xml:space="preserve"> may no longer apply. You may add a statement that you will continue to protect the information under federal law if you are a covered entity receiving the information</w:t>
      </w:r>
      <w:r w:rsidR="0089162F">
        <w:t>.</w:t>
      </w:r>
    </w:p>
    <w:p w14:paraId="69B4809F" w14:textId="0F21EE35" w:rsidR="00BE5288" w:rsidRDefault="005100CD" w:rsidP="00515FFC">
      <w:pPr>
        <w:numPr>
          <w:ilvl w:val="0"/>
          <w:numId w:val="6"/>
        </w:numPr>
        <w:tabs>
          <w:tab w:val="clear" w:pos="360"/>
          <w:tab w:val="num" w:pos="720"/>
          <w:tab w:val="left" w:pos="990"/>
        </w:tabs>
        <w:ind w:left="720"/>
      </w:pPr>
      <w:r>
        <w:t>If the patient is present, have them c</w:t>
      </w:r>
      <w:r w:rsidR="0089162F">
        <w:t xml:space="preserve">omplete the bottom portion of the form </w:t>
      </w:r>
      <w:r w:rsidR="003B51D1">
        <w:t>to revoke the</w:t>
      </w:r>
      <w:r w:rsidR="0089162F">
        <w:t xml:space="preserve"> revoked.</w:t>
      </w:r>
      <w:r w:rsidR="00502B5B">
        <w:t xml:space="preserve"> </w:t>
      </w:r>
      <w:r w:rsidR="003B51D1">
        <w:t xml:space="preserve">If the revocation is emailed or mailed, file with the original form. </w:t>
      </w:r>
      <w:r w:rsidR="00515FFC">
        <w:t>Revocations must be in writing.</w:t>
      </w:r>
    </w:p>
    <w:sectPr w:rsidR="00BE5288" w:rsidSect="00515FFC">
      <w:footerReference w:type="default" r:id="rId7"/>
      <w:pgSz w:w="12240" w:h="15840"/>
      <w:pgMar w:top="1440" w:right="1080" w:bottom="1440" w:left="108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15EAC" w14:textId="77777777" w:rsidR="005F0620" w:rsidRDefault="005F0620" w:rsidP="00940B9D">
      <w:r>
        <w:separator/>
      </w:r>
    </w:p>
  </w:endnote>
  <w:endnote w:type="continuationSeparator" w:id="0">
    <w:p w14:paraId="3B1164B4" w14:textId="77777777" w:rsidR="005F0620" w:rsidRDefault="005F0620" w:rsidP="0094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5B565" w14:textId="23BC1D21" w:rsidR="00940B9D" w:rsidRPr="00940B9D" w:rsidRDefault="00940B9D">
    <w:pPr>
      <w:pStyle w:val="Footer"/>
      <w:rPr>
        <w:sz w:val="20"/>
        <w:szCs w:val="16"/>
      </w:rPr>
    </w:pPr>
    <w:r w:rsidRPr="00940B9D">
      <w:rPr>
        <w:sz w:val="20"/>
        <w:szCs w:val="16"/>
      </w:rPr>
      <w:tab/>
    </w:r>
    <w:r w:rsidRPr="00940B9D">
      <w:rPr>
        <w:sz w:val="20"/>
        <w:szCs w:val="16"/>
      </w:rPr>
      <w:tab/>
      <w:t>Rev. 202</w:t>
    </w:r>
    <w:r w:rsidR="00515FFC">
      <w:rPr>
        <w:sz w:val="20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7CDB05" w14:textId="77777777" w:rsidR="005F0620" w:rsidRDefault="005F0620" w:rsidP="00940B9D">
      <w:r>
        <w:separator/>
      </w:r>
    </w:p>
  </w:footnote>
  <w:footnote w:type="continuationSeparator" w:id="0">
    <w:p w14:paraId="5DC765BA" w14:textId="77777777" w:rsidR="005F0620" w:rsidRDefault="005F0620" w:rsidP="00940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2"/>
    <w:multiLevelType w:val="multilevel"/>
    <w:tmpl w:val="00000000"/>
    <w:name w:val="?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8E914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0942B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3932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4451FF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90D5BC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9FB0D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7A701E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>
    <w:abstractNumId w:val="4"/>
  </w:num>
  <w:num w:numId="4">
    <w:abstractNumId w:val="8"/>
  </w:num>
  <w:num w:numId="5">
    <w:abstractNumId w:val="3"/>
  </w:num>
  <w:num w:numId="6">
    <w:abstractNumId w:val="6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8CE"/>
    <w:rsid w:val="000052C5"/>
    <w:rsid w:val="000A48AA"/>
    <w:rsid w:val="000F3D11"/>
    <w:rsid w:val="00101A4B"/>
    <w:rsid w:val="0017573D"/>
    <w:rsid w:val="00215587"/>
    <w:rsid w:val="00316B2E"/>
    <w:rsid w:val="003B51D1"/>
    <w:rsid w:val="00502B5B"/>
    <w:rsid w:val="005100CD"/>
    <w:rsid w:val="00515FFC"/>
    <w:rsid w:val="005778CE"/>
    <w:rsid w:val="005F0620"/>
    <w:rsid w:val="0061429B"/>
    <w:rsid w:val="00766E33"/>
    <w:rsid w:val="0089162F"/>
    <w:rsid w:val="00940B9D"/>
    <w:rsid w:val="009576C7"/>
    <w:rsid w:val="009C13FE"/>
    <w:rsid w:val="009D1AB8"/>
    <w:rsid w:val="00AF040D"/>
    <w:rsid w:val="00AF657C"/>
    <w:rsid w:val="00B243A7"/>
    <w:rsid w:val="00BE5288"/>
    <w:rsid w:val="00C418CE"/>
    <w:rsid w:val="00C97AD8"/>
    <w:rsid w:val="00D72200"/>
    <w:rsid w:val="00DF6FE8"/>
    <w:rsid w:val="00EE7529"/>
    <w:rsid w:val="00FC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481A77"/>
  <w15:chartTrackingRefBased/>
  <w15:docId w15:val="{7C340761-E34A-4F66-BCF0-EBEC420B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</w:rPr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Header">
    <w:name w:val="header"/>
    <w:basedOn w:val="Normal"/>
    <w:link w:val="HeaderChar"/>
    <w:uiPriority w:val="99"/>
    <w:unhideWhenUsed/>
    <w:rsid w:val="00940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B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940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B9D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B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2284</Characters>
  <Application>Microsoft Office Word</Application>
  <DocSecurity>0</DocSecurity>
  <Lines>42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Authorization to use or disclose protected health information must be obtained when a consent form does not apply or another exception otherwise permitting use or disclosure of protected health information does not apply</vt:lpstr>
    </vt:vector>
  </TitlesOfParts>
  <Company>Payments Exchange</Company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Authorization to use or disclose protected health information must be obtained when a consent form does not apply or another exception otherwise permitting use or disclosure of protected health information does not apply</dc:title>
  <dc:subject/>
  <dc:creator>Bearle Chamblee</dc:creator>
  <cp:keywords/>
  <cp:lastModifiedBy>Abby Mitchell</cp:lastModifiedBy>
  <cp:revision>5</cp:revision>
  <cp:lastPrinted>2020-11-03T03:23:00Z</cp:lastPrinted>
  <dcterms:created xsi:type="dcterms:W3CDTF">2020-11-06T14:42:00Z</dcterms:created>
  <dcterms:modified xsi:type="dcterms:W3CDTF">2020-11-16T15:52:00Z</dcterms:modified>
</cp:coreProperties>
</file>